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tabs>
          <w:tab w:val="center" w:pos="4883"/>
        </w:tabs>
        <w:ind w:right="-300" w:firstLine="1325" w:firstLineChars="300"/>
        <w:jc w:val="left"/>
        <w:rPr>
          <w:rFonts w:hint="eastAsia" w:ascii="宋体" w:hAnsi="宋体"/>
          <w:b/>
          <w:bCs/>
          <w:sz w:val="44"/>
          <w:szCs w:val="44"/>
        </w:rPr>
      </w:pPr>
    </w:p>
    <w:p>
      <w:pPr>
        <w:widowControl/>
        <w:tabs>
          <w:tab w:val="center" w:pos="4883"/>
        </w:tabs>
        <w:ind w:right="-300"/>
        <w:jc w:val="center"/>
        <w:rPr>
          <w:rFonts w:ascii="华文细黑" w:hAnsi="华文细黑" w:eastAsia="华文细黑"/>
          <w:b/>
          <w:bCs/>
          <w:sz w:val="48"/>
          <w:szCs w:val="48"/>
        </w:rPr>
      </w:pPr>
    </w:p>
    <w:p>
      <w:pPr>
        <w:widowControl/>
        <w:tabs>
          <w:tab w:val="center" w:pos="4883"/>
        </w:tabs>
        <w:ind w:right="-300"/>
        <w:jc w:val="center"/>
        <w:rPr>
          <w:rFonts w:ascii="华文细黑" w:hAnsi="华文细黑" w:eastAsia="华文细黑"/>
          <w:b/>
          <w:bCs/>
          <w:sz w:val="48"/>
          <w:szCs w:val="48"/>
        </w:rPr>
      </w:pPr>
      <w:r>
        <w:rPr>
          <w:rFonts w:hint="eastAsia" w:ascii="宋体" w:hAnsi="宋体" w:eastAsia="宋体"/>
          <w:sz w:val="48"/>
          <w:szCs w:val="48"/>
          <w:lang w:val="en-US" w:eastAsia="zh-CN"/>
        </w:rPr>
        <w:t>技术、</w:t>
      </w:r>
      <w:r>
        <w:rPr>
          <w:rFonts w:hint="eastAsia" w:ascii="宋体" w:hAnsi="宋体" w:eastAsia="宋体"/>
          <w:sz w:val="48"/>
          <w:szCs w:val="48"/>
        </w:rPr>
        <w:t>质量及服务要求</w:t>
      </w: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ind w:firstLine="3253" w:firstLineChars="900"/>
        <w:rPr>
          <w:rFonts w:ascii="宋体" w:hAnsi="宋体"/>
          <w:b/>
          <w:bCs/>
          <w:sz w:val="36"/>
        </w:rPr>
      </w:pPr>
    </w:p>
    <w:p>
      <w:pPr>
        <w:rPr>
          <w:rFonts w:ascii="宋体" w:hAnsi="宋体"/>
          <w:b/>
          <w:bCs/>
          <w:sz w:val="36"/>
        </w:rPr>
      </w:pPr>
    </w:p>
    <w:p>
      <w:pPr>
        <w:spacing w:line="720" w:lineRule="auto"/>
        <w:ind w:firstLine="970" w:firstLineChars="302"/>
        <w:rPr>
          <w:rFonts w:ascii="宋体" w:hAnsi="宋体"/>
          <w:b/>
          <w:bCs/>
          <w:sz w:val="32"/>
          <w:szCs w:val="32"/>
        </w:rPr>
      </w:pPr>
    </w:p>
    <w:p>
      <w:pPr>
        <w:ind w:firstLine="986" w:firstLineChars="307"/>
        <w:rPr>
          <w:rFonts w:ascii="宋体" w:hAnsi="宋体"/>
          <w:b/>
          <w:bCs/>
          <w:sz w:val="32"/>
          <w:szCs w:val="32"/>
        </w:rPr>
      </w:pPr>
    </w:p>
    <w:p>
      <w:pPr>
        <w:ind w:firstLine="986" w:firstLineChars="307"/>
        <w:rPr>
          <w:rFonts w:ascii="宋体" w:hAnsi="宋体"/>
          <w:b/>
          <w:bCs/>
          <w:sz w:val="32"/>
          <w:szCs w:val="32"/>
        </w:rPr>
      </w:pPr>
    </w:p>
    <w:p>
      <w:pPr>
        <w:ind w:firstLine="986" w:firstLineChars="307"/>
        <w:rPr>
          <w:rFonts w:ascii="宋体" w:hAnsi="宋体"/>
          <w:b/>
          <w:bCs/>
          <w:sz w:val="32"/>
          <w:szCs w:val="32"/>
        </w:rPr>
      </w:pPr>
    </w:p>
    <w:p>
      <w:pPr>
        <w:ind w:firstLine="986" w:firstLineChars="307"/>
        <w:rPr>
          <w:rFonts w:ascii="宋体" w:hAnsi="宋体"/>
          <w:b/>
          <w:bCs/>
          <w:sz w:val="32"/>
          <w:szCs w:val="32"/>
        </w:rPr>
      </w:pPr>
    </w:p>
    <w:p>
      <w:pPr>
        <w:ind w:firstLine="986" w:firstLineChars="307"/>
        <w:rPr>
          <w:rFonts w:ascii="宋体" w:hAnsi="宋体"/>
          <w:b/>
          <w:bCs/>
          <w:sz w:val="32"/>
          <w:szCs w:val="32"/>
        </w:rPr>
      </w:pPr>
    </w:p>
    <w:p>
      <w:pPr>
        <w:ind w:firstLine="986" w:firstLineChars="307"/>
        <w:rPr>
          <w:rFonts w:ascii="宋体" w:hAnsi="宋体"/>
          <w:b/>
          <w:bCs/>
          <w:sz w:val="32"/>
          <w:szCs w:val="32"/>
        </w:rPr>
      </w:pPr>
    </w:p>
    <w:p/>
    <w:p/>
    <w:p/>
    <w:p/>
    <w:p>
      <w:pPr>
        <w:numPr>
          <w:ilvl w:val="0"/>
          <w:numId w:val="2"/>
        </w:numPr>
        <w:spacing w:before="156" w:beforeLines="50" w:line="460" w:lineRule="exact"/>
        <w:rPr>
          <w:rFonts w:hint="eastAsia" w:ascii="仿宋" w:hAnsi="仿宋" w:eastAsia="仿宋"/>
          <w:b/>
          <w:sz w:val="28"/>
          <w:szCs w:val="28"/>
          <w:lang w:val="en-US" w:eastAsia="zh-CN"/>
        </w:rPr>
      </w:pPr>
      <w:r>
        <w:rPr>
          <w:rFonts w:hint="eastAsia" w:ascii="仿宋" w:hAnsi="仿宋" w:eastAsia="仿宋"/>
          <w:b/>
          <w:sz w:val="28"/>
          <w:szCs w:val="28"/>
          <w:lang w:val="en-US" w:eastAsia="zh-CN"/>
        </w:rPr>
        <w:t>技术要求</w:t>
      </w:r>
    </w:p>
    <w:p>
      <w:pPr>
        <w:numPr>
          <w:ilvl w:val="0"/>
          <w:numId w:val="0"/>
        </w:numPr>
        <w:spacing w:before="156" w:beforeLines="50" w:line="460" w:lineRule="exact"/>
        <w:rPr>
          <w:rFonts w:hint="default" w:ascii="仿宋" w:hAnsi="仿宋" w:eastAsia="仿宋"/>
          <w:b/>
          <w:sz w:val="28"/>
          <w:szCs w:val="28"/>
          <w:lang w:val="en-US" w:eastAsia="zh-CN"/>
        </w:rPr>
      </w:pPr>
      <w:r>
        <w:rPr>
          <w:rFonts w:hint="eastAsia" w:ascii="仿宋" w:hAnsi="仿宋" w:eastAsia="仿宋"/>
          <w:b/>
          <w:sz w:val="28"/>
          <w:szCs w:val="28"/>
          <w:lang w:val="en-US" w:eastAsia="zh-CN"/>
        </w:rPr>
        <w:t xml:space="preserve">   </w:t>
      </w:r>
      <w:r>
        <w:rPr>
          <w:rFonts w:hint="eastAsia" w:ascii="仿宋" w:hAnsi="仿宋" w:eastAsia="仿宋"/>
          <w:b w:val="0"/>
          <w:bCs/>
          <w:sz w:val="28"/>
          <w:szCs w:val="28"/>
          <w:lang w:val="en-US" w:eastAsia="zh-CN"/>
        </w:rPr>
        <w:t xml:space="preserve"> 详见附录《标签明细及要求》。</w:t>
      </w:r>
    </w:p>
    <w:p>
      <w:pPr>
        <w:spacing w:before="156" w:beforeLines="50" w:line="460" w:lineRule="exact"/>
        <w:rPr>
          <w:rFonts w:ascii="仿宋" w:hAnsi="仿宋" w:eastAsia="仿宋"/>
          <w:b/>
          <w:sz w:val="28"/>
          <w:szCs w:val="28"/>
        </w:rPr>
      </w:pPr>
      <w:r>
        <w:rPr>
          <w:rFonts w:hint="eastAsia" w:ascii="仿宋" w:hAnsi="仿宋" w:eastAsia="仿宋"/>
          <w:b/>
          <w:sz w:val="28"/>
          <w:szCs w:val="28"/>
          <w:lang w:val="en-US" w:eastAsia="zh-CN"/>
        </w:rPr>
        <w:t>二</w:t>
      </w:r>
      <w:r>
        <w:rPr>
          <w:rFonts w:hint="eastAsia" w:ascii="仿宋" w:hAnsi="仿宋" w:eastAsia="仿宋"/>
          <w:b/>
          <w:sz w:val="28"/>
          <w:szCs w:val="28"/>
        </w:rPr>
        <w:t>、质量要求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（一）货物要求</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所有货物必须是在中国范围内合法销售、原装、全新、并完全符合用户要求的产品，符合国家、行业及该产品的出厂标准，中标人需随货物装箱提供制造厂的货物检验、货物检验合格证书、质量保证书和保修书等证明文件。如发生所供货物与合同不符，采购人（或使用方）有权拒收或退货，由此产生的一切责任和后果由中标人承担。</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2</w:t>
      </w:r>
      <w:r>
        <w:rPr>
          <w:rFonts w:hint="eastAsia" w:ascii="仿宋" w:hAnsi="仿宋" w:eastAsia="仿宋" w:cs="仿宋"/>
          <w:sz w:val="28"/>
          <w:szCs w:val="28"/>
          <w:lang w:val="zh-CN"/>
        </w:rPr>
        <w:t>.货物外观清洁，标识编号、外表面显示等字体清晰，明确。</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3</w:t>
      </w:r>
      <w:r>
        <w:rPr>
          <w:rFonts w:hint="eastAsia" w:ascii="仿宋" w:hAnsi="仿宋" w:eastAsia="仿宋" w:cs="仿宋"/>
          <w:sz w:val="28"/>
          <w:szCs w:val="28"/>
          <w:lang w:val="zh-CN"/>
        </w:rPr>
        <w:t>.货物及所有配套件必须完整和可靠。对该货物的正常使用必不可少的配件等，中标人有责任给予补充。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（二）材料要求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1.货物使用的材料应附有出厂合格证明，具有法律效力的检测部门出具的检验报告等资料。严格按先试后用原则，并应提供至少一份副本给采购人。</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货物使用的主要材料或货物须提供样品并经采购人确认，符合采购人要求，方可订货使用，经采购人确认无需提供样品的除外。如发现交付的货物与样品不符或有质量问题，采购人有权拒收，中标人须更换与样品同参数规格的材料、货物，由此发生的损失由中标人承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（三）其他要求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1.中标人确认在供货前已充分知晓采购人对货物的具体用途，保证货物使用时满足国家及采购人对货物安全、环保及职业健康等方面要求。</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2.中标人保证其具备相应货物的生产、销售、维护的许可或资质及能力。所有货物在交货前已完成相关部门必须的检验、商检等，采购人能够直接安全合法使用。</w:t>
      </w:r>
    </w:p>
    <w:p>
      <w:pPr>
        <w:spacing w:before="156" w:beforeLines="50" w:line="460" w:lineRule="exact"/>
        <w:ind w:firstLine="141" w:firstLineChars="50"/>
        <w:rPr>
          <w:rFonts w:ascii="仿宋" w:hAnsi="仿宋" w:eastAsia="仿宋"/>
          <w:b/>
          <w:sz w:val="28"/>
          <w:szCs w:val="28"/>
        </w:rPr>
      </w:pPr>
      <w:r>
        <w:rPr>
          <w:rFonts w:hint="eastAsia" w:ascii="仿宋" w:hAnsi="仿宋" w:eastAsia="仿宋"/>
          <w:b/>
          <w:sz w:val="28"/>
          <w:szCs w:val="28"/>
          <w:lang w:val="en-US" w:eastAsia="zh-CN"/>
        </w:rPr>
        <w:t>三</w:t>
      </w:r>
      <w:r>
        <w:rPr>
          <w:rFonts w:hint="eastAsia" w:ascii="仿宋" w:hAnsi="仿宋" w:eastAsia="仿宋"/>
          <w:b/>
          <w:sz w:val="28"/>
          <w:szCs w:val="28"/>
        </w:rPr>
        <w:t>、包装、装运及运输</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1.中标人负责包装、装运和运输，由于不适当的包装、装运和运输造成货物有任何损坏均由中标人负责。中标人应在货物外包装的显著位置注明货物基本信息及注意事项或标识。</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2.包装费、运费及相关费用已包含在合同总金额内。</w:t>
      </w:r>
    </w:p>
    <w:p>
      <w:pPr>
        <w:spacing w:before="156" w:beforeLines="50" w:line="460" w:lineRule="exact"/>
        <w:ind w:firstLine="141" w:firstLineChars="50"/>
        <w:rPr>
          <w:rFonts w:ascii="仿宋" w:hAnsi="仿宋" w:eastAsia="仿宋"/>
          <w:b/>
          <w:sz w:val="28"/>
          <w:szCs w:val="28"/>
        </w:rPr>
      </w:pPr>
      <w:r>
        <w:rPr>
          <w:rFonts w:hint="eastAsia" w:ascii="仿宋" w:hAnsi="仿宋" w:eastAsia="仿宋"/>
          <w:b/>
          <w:sz w:val="28"/>
          <w:szCs w:val="28"/>
          <w:lang w:val="en-US" w:eastAsia="zh-CN"/>
        </w:rPr>
        <w:t>四</w:t>
      </w:r>
      <w:r>
        <w:rPr>
          <w:rFonts w:hint="eastAsia" w:ascii="仿宋" w:hAnsi="仿宋" w:eastAsia="仿宋"/>
          <w:b/>
          <w:sz w:val="28"/>
          <w:szCs w:val="28"/>
        </w:rPr>
        <w:t>、质量期与服务要求</w:t>
      </w:r>
    </w:p>
    <w:p>
      <w:pPr>
        <w:spacing w:line="460" w:lineRule="exact"/>
        <w:ind w:firstLine="560" w:firstLineChars="200"/>
        <w:rPr>
          <w:rFonts w:ascii="仿宋" w:hAnsi="仿宋" w:eastAsia="仿宋" w:cs="仿宋"/>
          <w:sz w:val="28"/>
          <w:szCs w:val="28"/>
          <w:lang w:val="zh-CN"/>
        </w:rPr>
      </w:pPr>
      <w:r>
        <w:rPr>
          <w:rFonts w:ascii="仿宋" w:hAnsi="仿宋" w:eastAsia="仿宋" w:cs="仿宋"/>
          <w:sz w:val="28"/>
          <w:szCs w:val="28"/>
          <w:lang w:val="zh-CN"/>
        </w:rPr>
        <w:t>1.</w:t>
      </w:r>
      <w:r>
        <w:rPr>
          <w:rFonts w:hint="eastAsia" w:ascii="仿宋" w:hAnsi="仿宋" w:eastAsia="仿宋" w:cs="仿宋"/>
          <w:sz w:val="28"/>
          <w:szCs w:val="28"/>
          <w:lang w:val="zh-CN"/>
        </w:rPr>
        <w:t>在质量保证期内，因货物出现质量问题不符合合同约定的，中标人应立即无偿更换、赔款或委托采购人安排处理，中标人未按采购人要求及时解决质量问题的，招标人有权另请第三方解决。因解决货物质量问题产生的所有费用均由中标人承担。</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2.质保金为中标金额的5%，验收合格，且收到全额增值税专用发票入账后一年，且中标人全面履行合同义务后支付。若中标人存在违约责任，招标人有权从中扣除。</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3</w:t>
      </w:r>
      <w:r>
        <w:rPr>
          <w:rFonts w:ascii="仿宋" w:hAnsi="仿宋" w:eastAsia="仿宋" w:cs="仿宋"/>
          <w:sz w:val="28"/>
          <w:szCs w:val="28"/>
          <w:lang w:val="zh-CN"/>
        </w:rPr>
        <w:t>.因货物出现质量问题给采购人造成费用或按合同约定中标人需承担违约责任的，采购人有权在质量保证金内优先扣除。质量保证期满且双方经结算无争议的，中标人应及时</w:t>
      </w:r>
      <w:r>
        <w:rPr>
          <w:rFonts w:hint="eastAsia" w:ascii="仿宋" w:hAnsi="仿宋" w:eastAsia="仿宋" w:cs="仿宋"/>
          <w:sz w:val="28"/>
          <w:szCs w:val="28"/>
          <w:lang w:val="zh-CN"/>
        </w:rPr>
        <w:t>要求采购人出具质量保证期满证书。</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4</w:t>
      </w:r>
      <w:r>
        <w:rPr>
          <w:rFonts w:ascii="仿宋" w:hAnsi="仿宋" w:eastAsia="仿宋" w:cs="仿宋"/>
          <w:sz w:val="28"/>
          <w:szCs w:val="28"/>
          <w:lang w:val="zh-CN"/>
        </w:rPr>
        <w:t>.中标人确保具有相应的售后服务能力，包括拥有相应的设备和人员。在质量保证期内，涉及维修的货物，中标人应可随时上门进行维修。因货物质量问题或中标人售后服务不到位导致货物无法正常使用给采购人造成的损失由中标人赔偿，且质量保证期相应顺延。</w:t>
      </w:r>
    </w:p>
    <w:p>
      <w:pPr>
        <w:spacing w:line="460" w:lineRule="exact"/>
        <w:ind w:firstLine="560" w:firstLineChars="200"/>
        <w:rPr>
          <w:rFonts w:ascii="仿宋" w:hAnsi="仿宋" w:eastAsia="仿宋" w:cs="仿宋"/>
          <w:sz w:val="28"/>
          <w:szCs w:val="28"/>
          <w:lang w:val="zh-CN"/>
        </w:rPr>
      </w:pPr>
      <w:r>
        <w:rPr>
          <w:rFonts w:hint="eastAsia" w:ascii="仿宋" w:hAnsi="仿宋" w:eastAsia="仿宋" w:cs="仿宋"/>
          <w:sz w:val="28"/>
          <w:szCs w:val="28"/>
          <w:lang w:val="zh-CN"/>
        </w:rPr>
        <w:t>5</w:t>
      </w:r>
      <w:r>
        <w:rPr>
          <w:rFonts w:ascii="仿宋" w:hAnsi="仿宋" w:eastAsia="仿宋" w:cs="仿宋"/>
          <w:sz w:val="28"/>
          <w:szCs w:val="28"/>
          <w:lang w:val="zh-CN"/>
        </w:rPr>
        <w:t>.</w:t>
      </w:r>
      <w:r>
        <w:rPr>
          <w:rFonts w:hint="eastAsia" w:ascii="仿宋" w:hAnsi="仿宋" w:eastAsia="仿宋" w:cs="仿宋"/>
          <w:sz w:val="28"/>
          <w:szCs w:val="28"/>
          <w:lang w:val="zh-CN"/>
        </w:rPr>
        <w:t>货物为非原材料的，中标人承诺提供设</w:t>
      </w:r>
      <w:r>
        <w:rPr>
          <w:rFonts w:ascii="仿宋" w:hAnsi="仿宋" w:eastAsia="仿宋" w:cs="仿宋"/>
          <w:sz w:val="28"/>
          <w:szCs w:val="28"/>
          <w:lang w:val="zh-CN"/>
        </w:rPr>
        <w:t>7</w:t>
      </w:r>
      <w:r>
        <w:rPr>
          <w:rFonts w:hint="eastAsia" w:ascii="仿宋" w:hAnsi="仿宋" w:eastAsia="仿宋" w:cs="仿宋"/>
          <w:sz w:val="28"/>
          <w:szCs w:val="28"/>
          <w:lang w:val="zh-CN"/>
        </w:rPr>
        <w:t>×</w:t>
      </w:r>
      <w:r>
        <w:rPr>
          <w:rFonts w:ascii="仿宋" w:hAnsi="仿宋" w:eastAsia="仿宋" w:cs="仿宋"/>
          <w:sz w:val="28"/>
          <w:szCs w:val="28"/>
          <w:lang w:val="zh-CN"/>
        </w:rPr>
        <w:t>24</w:t>
      </w:r>
      <w:r>
        <w:rPr>
          <w:rFonts w:hint="eastAsia" w:ascii="仿宋" w:hAnsi="仿宋" w:eastAsia="仿宋" w:cs="仿宋"/>
          <w:sz w:val="28"/>
          <w:szCs w:val="28"/>
          <w:lang w:val="zh-CN"/>
        </w:rPr>
        <w:t>小时免费技术支持；永久性免费提供电话技术指导和咨询服务。</w:t>
      </w:r>
    </w:p>
    <w:p>
      <w:pPr>
        <w:rPr>
          <w:sz w:val="28"/>
          <w:szCs w:val="28"/>
        </w:rPr>
      </w:pPr>
    </w:p>
    <w:p>
      <w:pPr>
        <w:rPr>
          <w:sz w:val="28"/>
          <w:szCs w:val="28"/>
        </w:rPr>
      </w:pPr>
    </w:p>
    <w:p>
      <w:pPr>
        <w:rPr>
          <w:sz w:val="28"/>
          <w:szCs w:val="28"/>
        </w:rPr>
      </w:pPr>
    </w:p>
    <w:p>
      <w:pPr>
        <w:rPr>
          <w:sz w:val="28"/>
          <w:szCs w:val="28"/>
        </w:rPr>
      </w:pPr>
    </w:p>
    <w:p>
      <w:pPr>
        <w:rPr>
          <w:sz w:val="28"/>
          <w:szCs w:val="28"/>
        </w:rPr>
      </w:pPr>
    </w:p>
    <w:p>
      <w:pPr>
        <w:rPr>
          <w:sz w:val="28"/>
          <w:szCs w:val="28"/>
        </w:rPr>
      </w:pPr>
    </w:p>
    <w:p>
      <w:pPr>
        <w:rPr>
          <w:rFonts w:hint="eastAsia"/>
          <w:sz w:val="28"/>
          <w:szCs w:val="28"/>
          <w:lang w:val="en-US" w:eastAsia="zh-CN"/>
        </w:rPr>
      </w:pPr>
      <w:r>
        <w:rPr>
          <w:rFonts w:hint="eastAsia"/>
          <w:sz w:val="28"/>
          <w:szCs w:val="28"/>
          <w:lang w:val="en-US" w:eastAsia="zh-CN"/>
        </w:rPr>
        <w:t>附录：标签明细及要求</w:t>
      </w:r>
    </w:p>
    <w:tbl>
      <w:tblPr>
        <w:tblStyle w:val="5"/>
        <w:tblW w:w="8426"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68"/>
        <w:gridCol w:w="1275"/>
        <w:gridCol w:w="2823"/>
        <w:gridCol w:w="34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序号</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物料</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物料描述</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Theme="majorEastAsia" w:hAnsiTheme="majorEastAsia" w:eastAsiaTheme="majorEastAsia" w:cstheme="majorEastAsia"/>
                <w:i w:val="0"/>
                <w:iCs w:val="0"/>
                <w:color w:val="000000"/>
                <w:kern w:val="0"/>
                <w:sz w:val="20"/>
                <w:szCs w:val="20"/>
                <w:u w:val="none"/>
                <w:lang w:val="en-US" w:eastAsia="zh-CN" w:bidi="ar"/>
              </w:rPr>
              <w:t>技术要求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2000005861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标签84X54PVC</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尺寸84X54，材质PVC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2000398013</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不干胶标签10X10\聚酰亚胺</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尺寸10X10，材质聚酰亚胺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2000034002</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标签50X30\白色\PET</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尺寸50X30，材质PET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2000021071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不干胶标签\BRADY-B8423-32X6\白色亚光\聚酯</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尺寸32X6，材质聚酯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2000015176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不干胶标签40mm×4.5mm,B457（BRADY）聚酰亚胺</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尺寸40X4.5，材质聚酰亚胺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2000021047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不干胶标签60MMX15MM,3M7872亮银PET</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尺寸60X15，材质PET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2000021058</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不干胶标签BRADY-B7531-8X8灰色聚酯</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尺寸8X8，材质聚酯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2000021074</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单板ID标签22X7MM\耐高温材质</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尺寸22X7，耐高温材质（经过回流及波峰焊后，不能出现融化现象）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2000263031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不干胶标签40X83M7860白色聚酯</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尺寸40X8，材质聚酯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2000265195</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不干胶标签15X63M78603M白色</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尺寸15X6，材质聚酯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2000353857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二维码标签1cmx1cm</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尺寸1X1，耐高温材质（经过回流及波峰焊后，不能出现融化现象）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2000021057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不干胶标签BRADY,THT-71-457-20，8MMX8MM\白色亚光</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尺寸15X6，材质聚酯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2000021037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标签E39，直径ф7绿色圆形PE</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尺寸直径ф7，材质PE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2000021077</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干胶标签纸BRADY的B753120MMX17MM白色亚光聚脂</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尺寸20X17，材质聚酯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2000299583</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标签95X65亚银PET</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尺寸95X65，材质PET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16</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2000265341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不干胶标签30X103M78603M白色</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尺寸30X10，材质PVC</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17</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2000353858</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二维码标签3cmx3cm</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尺寸3X3，耐高温材质（经过回流及波峰焊后，不能出现融化现象）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18</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2000005858</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标签153X51胶版纸</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尺寸153X51，材质胶版纸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19</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2000021041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易碎标签16X16㎜（Φ1.6㎝）绿色</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尺寸16X16，材质易碎纸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20</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2000021054</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不干胶标签85MMX25MM3M7872(亮银)PET</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尺寸85X25，材质PET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21</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2000363953</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二维码标签2cmX2cm</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尺寸2X2，耐高温材质（经过回流及波峰焊后，不能出现融化现象）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22</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2000363951</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二维码标签1.8cmX1.8cm</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尺寸1.8X1.8，耐高温材质（经过回流及波峰焊后，不能出现融化现象）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23</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2000065546</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标签25X5B8423白色聚酯</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尺寸25X5，材质聚酯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9" w:hRule="atLeast"/>
        </w:trPr>
        <w:tc>
          <w:tcPr>
            <w:tcW w:w="86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24</w:t>
            </w:r>
          </w:p>
        </w:tc>
        <w:tc>
          <w:tcPr>
            <w:tcW w:w="127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2000363320</w:t>
            </w:r>
          </w:p>
        </w:tc>
        <w:tc>
          <w:tcPr>
            <w:tcW w:w="282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Theme="majorEastAsia" w:hAnsiTheme="majorEastAsia" w:eastAsiaTheme="majorEastAsia" w:cstheme="majorEastAsia"/>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不干胶标签70X40\FASSON</w:t>
            </w:r>
            <w:bookmarkStart w:id="0" w:name="_GoBack"/>
            <w:bookmarkEnd w:id="0"/>
            <w:r>
              <w:rPr>
                <w:rFonts w:hint="eastAsia" w:ascii="宋体" w:hAnsi="宋体" w:eastAsia="宋体" w:cs="宋体"/>
                <w:i w:val="0"/>
                <w:iCs w:val="0"/>
                <w:color w:val="000000"/>
                <w:kern w:val="0"/>
                <w:sz w:val="20"/>
                <w:szCs w:val="20"/>
                <w:u w:val="none"/>
                <w:lang w:val="en-US" w:eastAsia="zh-CN" w:bidi="ar"/>
              </w:rPr>
              <w:t>\黄色</w:t>
            </w:r>
          </w:p>
        </w:tc>
        <w:tc>
          <w:tcPr>
            <w:tcW w:w="34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尺寸70X40，材质聚酯</w:t>
            </w:r>
          </w:p>
        </w:tc>
      </w:tr>
    </w:tbl>
    <w:p>
      <w:pPr>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C91163"/>
    <w:multiLevelType w:val="multilevel"/>
    <w:tmpl w:val="1FC91163"/>
    <w:lvl w:ilvl="0" w:tentative="0">
      <w:start w:val="1"/>
      <w:numFmt w:val="decimal"/>
      <w:pStyle w:val="11"/>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10"/>
      <w:suff w:val="nothing"/>
      <w:lvlText w:val="%1.%2　"/>
      <w:lvlJc w:val="left"/>
      <w:pPr>
        <w:ind w:left="0" w:firstLine="0"/>
      </w:pPr>
      <w:rPr>
        <w:rFonts w:hint="eastAsia" w:ascii="黑体" w:hAnsi="Times New Roman" w:eastAsia="黑体" w:cs="Times New Roman"/>
        <w:b w:val="0"/>
        <w:bCs w:val="0"/>
        <w:i w:val="0"/>
        <w:iCs w:val="0"/>
        <w:caps w:val="0"/>
        <w:strike w:val="0"/>
        <w:dstrike w:val="0"/>
        <w:outline w:val="0"/>
        <w:shadow w:val="0"/>
        <w:emboss w:val="0"/>
        <w:imprint w:val="0"/>
        <w:vanish w:val="0"/>
        <w:spacing w:val="0"/>
        <w:kern w:val="0"/>
        <w:position w:val="0"/>
        <w:sz w:val="21"/>
        <w:szCs w:val="21"/>
        <w:u w:val="none"/>
        <w:vertAlign w:val="baseline"/>
      </w:rPr>
    </w:lvl>
    <w:lvl w:ilvl="2" w:tentative="0">
      <w:start w:val="1"/>
      <w:numFmt w:val="decimal"/>
      <w:pStyle w:val="12"/>
      <w:suff w:val="nothing"/>
      <w:lvlText w:val="%1.%2.%3　"/>
      <w:lvlJc w:val="left"/>
      <w:pPr>
        <w:ind w:left="568" w:firstLine="0"/>
      </w:pPr>
      <w:rPr>
        <w:rFonts w:hint="eastAsia" w:ascii="黑体" w:hAnsi="Times New Roman" w:eastAsia="黑体"/>
        <w:b w:val="0"/>
        <w:i w:val="0"/>
        <w:sz w:val="21"/>
      </w:rPr>
    </w:lvl>
    <w:lvl w:ilvl="3" w:tentative="0">
      <w:start w:val="1"/>
      <w:numFmt w:val="decimal"/>
      <w:pStyle w:val="13"/>
      <w:suff w:val="nothing"/>
      <w:lvlText w:val="%1.%2.%3.%4　"/>
      <w:lvlJc w:val="left"/>
      <w:pPr>
        <w:ind w:left="0" w:firstLine="0"/>
      </w:pPr>
      <w:rPr>
        <w:rFonts w:hint="eastAsia" w:ascii="黑体" w:hAnsi="Times New Roman" w:eastAsia="黑体"/>
        <w:b w:val="0"/>
        <w:i w:val="0"/>
        <w:sz w:val="21"/>
      </w:rPr>
    </w:lvl>
    <w:lvl w:ilvl="4" w:tentative="0">
      <w:start w:val="1"/>
      <w:numFmt w:val="decimal"/>
      <w:pStyle w:val="14"/>
      <w:suff w:val="nothing"/>
      <w:lvlText w:val="%1.%2.%3.%4.%5　"/>
      <w:lvlJc w:val="left"/>
      <w:pPr>
        <w:ind w:left="0" w:firstLine="0"/>
      </w:pPr>
      <w:rPr>
        <w:rFonts w:hint="eastAsia" w:ascii="黑体" w:hAnsi="Times New Roman" w:eastAsia="黑体"/>
        <w:b w:val="0"/>
        <w:i w:val="0"/>
        <w:sz w:val="21"/>
      </w:rPr>
    </w:lvl>
    <w:lvl w:ilvl="5" w:tentative="0">
      <w:start w:val="1"/>
      <w:numFmt w:val="decimal"/>
      <w:pStyle w:val="15"/>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239A94EB"/>
    <w:multiLevelType w:val="singleLevel"/>
    <w:tmpl w:val="239A94EB"/>
    <w:lvl w:ilvl="0" w:tentative="0">
      <w:start w:val="1"/>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VhNTg2OTQ1MTU4YjRlNTk1ZGMwZmVjOTY3OGYyMDkifQ=="/>
  </w:docVars>
  <w:rsids>
    <w:rsidRoot w:val="00984D00"/>
    <w:rsid w:val="00002564"/>
    <w:rsid w:val="00004E65"/>
    <w:rsid w:val="00013EEB"/>
    <w:rsid w:val="000A0140"/>
    <w:rsid w:val="000B4D1A"/>
    <w:rsid w:val="000C3E34"/>
    <w:rsid w:val="000C5FA5"/>
    <w:rsid w:val="001111C1"/>
    <w:rsid w:val="00121101"/>
    <w:rsid w:val="00125B09"/>
    <w:rsid w:val="0015640C"/>
    <w:rsid w:val="001962D3"/>
    <w:rsid w:val="001A2EE0"/>
    <w:rsid w:val="001A7D29"/>
    <w:rsid w:val="001E72E3"/>
    <w:rsid w:val="00205B41"/>
    <w:rsid w:val="0022461D"/>
    <w:rsid w:val="00257870"/>
    <w:rsid w:val="002A0D1E"/>
    <w:rsid w:val="002A785A"/>
    <w:rsid w:val="002C0108"/>
    <w:rsid w:val="002C4C9C"/>
    <w:rsid w:val="00365CDC"/>
    <w:rsid w:val="0049162B"/>
    <w:rsid w:val="004C28A0"/>
    <w:rsid w:val="004D078B"/>
    <w:rsid w:val="004E4924"/>
    <w:rsid w:val="00521A9F"/>
    <w:rsid w:val="005471FD"/>
    <w:rsid w:val="00582DED"/>
    <w:rsid w:val="005A25E6"/>
    <w:rsid w:val="0060483F"/>
    <w:rsid w:val="00676EFC"/>
    <w:rsid w:val="006A02BC"/>
    <w:rsid w:val="006D5B16"/>
    <w:rsid w:val="006F02E1"/>
    <w:rsid w:val="00797241"/>
    <w:rsid w:val="007A442A"/>
    <w:rsid w:val="007B4523"/>
    <w:rsid w:val="007B6660"/>
    <w:rsid w:val="007F7993"/>
    <w:rsid w:val="008022EE"/>
    <w:rsid w:val="00826D2C"/>
    <w:rsid w:val="00851D85"/>
    <w:rsid w:val="00863180"/>
    <w:rsid w:val="008F36E6"/>
    <w:rsid w:val="009045FF"/>
    <w:rsid w:val="0092353E"/>
    <w:rsid w:val="009244E7"/>
    <w:rsid w:val="00934742"/>
    <w:rsid w:val="00946178"/>
    <w:rsid w:val="00950B34"/>
    <w:rsid w:val="00984D00"/>
    <w:rsid w:val="00A119D1"/>
    <w:rsid w:val="00A33623"/>
    <w:rsid w:val="00AE5CEF"/>
    <w:rsid w:val="00B57DA7"/>
    <w:rsid w:val="00B94BA6"/>
    <w:rsid w:val="00C94E5B"/>
    <w:rsid w:val="00C955CF"/>
    <w:rsid w:val="00CB605D"/>
    <w:rsid w:val="00CF1E1F"/>
    <w:rsid w:val="00D74D44"/>
    <w:rsid w:val="00DA07E3"/>
    <w:rsid w:val="00DB2B7C"/>
    <w:rsid w:val="00DC2F71"/>
    <w:rsid w:val="00DC6780"/>
    <w:rsid w:val="00DF641F"/>
    <w:rsid w:val="00E64CB9"/>
    <w:rsid w:val="00E65222"/>
    <w:rsid w:val="00E84548"/>
    <w:rsid w:val="00EB54B5"/>
    <w:rsid w:val="00EF08DD"/>
    <w:rsid w:val="00EF25D4"/>
    <w:rsid w:val="00F119CA"/>
    <w:rsid w:val="00F37331"/>
    <w:rsid w:val="00F45F0E"/>
    <w:rsid w:val="00FE2EB0"/>
    <w:rsid w:val="00FF3B6E"/>
    <w:rsid w:val="020C67B9"/>
    <w:rsid w:val="04427DD8"/>
    <w:rsid w:val="0A224BC3"/>
    <w:rsid w:val="0D0419D3"/>
    <w:rsid w:val="13BF58F4"/>
    <w:rsid w:val="186F5531"/>
    <w:rsid w:val="18A17A36"/>
    <w:rsid w:val="1ED92D4A"/>
    <w:rsid w:val="20B52AD6"/>
    <w:rsid w:val="24060C4F"/>
    <w:rsid w:val="28CE21FA"/>
    <w:rsid w:val="29257C24"/>
    <w:rsid w:val="2D890DF6"/>
    <w:rsid w:val="3652599D"/>
    <w:rsid w:val="3C6C303B"/>
    <w:rsid w:val="541812A5"/>
    <w:rsid w:val="5ED01D00"/>
    <w:rsid w:val="5FC82D05"/>
    <w:rsid w:val="63400035"/>
    <w:rsid w:val="703D101C"/>
    <w:rsid w:val="7D8A5D9D"/>
    <w:rsid w:val="7F7F3D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Normal Indent"/>
    <w:basedOn w:val="1"/>
    <w:qFormat/>
    <w:uiPriority w:val="0"/>
    <w:pPr>
      <w:ind w:firstLine="420"/>
    </w:p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paragraph" w:customStyle="1" w:styleId="10">
    <w:name w:val="一级条标题"/>
    <w:next w:val="1"/>
    <w:qFormat/>
    <w:uiPriority w:val="0"/>
    <w:pPr>
      <w:numPr>
        <w:ilvl w:val="1"/>
        <w:numId w:val="1"/>
      </w:numPr>
      <w:spacing w:beforeLines="50" w:afterLines="50"/>
      <w:outlineLvl w:val="2"/>
    </w:pPr>
    <w:rPr>
      <w:rFonts w:ascii="黑体" w:hAnsi="Times New Roman" w:eastAsia="黑体" w:cs="Times New Roman"/>
      <w:sz w:val="21"/>
      <w:szCs w:val="21"/>
      <w:lang w:val="en-US" w:eastAsia="zh-CN" w:bidi="ar-SA"/>
    </w:rPr>
  </w:style>
  <w:style w:type="paragraph" w:customStyle="1" w:styleId="11">
    <w:name w:val="章标题"/>
    <w:next w:val="1"/>
    <w:qFormat/>
    <w:uiPriority w:val="0"/>
    <w:pPr>
      <w:numPr>
        <w:ilvl w:val="0"/>
        <w:numId w:val="1"/>
      </w:numPr>
      <w:spacing w:beforeLines="100" w:afterLines="100"/>
      <w:jc w:val="both"/>
      <w:outlineLvl w:val="1"/>
    </w:pPr>
    <w:rPr>
      <w:rFonts w:ascii="黑体" w:hAnsi="Times New Roman" w:eastAsia="黑体" w:cs="Times New Roman"/>
      <w:sz w:val="21"/>
      <w:lang w:val="en-US" w:eastAsia="zh-CN" w:bidi="ar-SA"/>
    </w:rPr>
  </w:style>
  <w:style w:type="paragraph" w:customStyle="1" w:styleId="12">
    <w:name w:val="二级条标题"/>
    <w:basedOn w:val="10"/>
    <w:next w:val="1"/>
    <w:qFormat/>
    <w:uiPriority w:val="0"/>
    <w:pPr>
      <w:numPr>
        <w:ilvl w:val="2"/>
      </w:numPr>
      <w:spacing w:before="50" w:after="50"/>
      <w:outlineLvl w:val="3"/>
    </w:pPr>
  </w:style>
  <w:style w:type="paragraph" w:customStyle="1" w:styleId="13">
    <w:name w:val="三级条标题"/>
    <w:basedOn w:val="12"/>
    <w:next w:val="1"/>
    <w:qFormat/>
    <w:uiPriority w:val="0"/>
    <w:pPr>
      <w:numPr>
        <w:ilvl w:val="3"/>
      </w:numPr>
      <w:outlineLvl w:val="4"/>
    </w:pPr>
  </w:style>
  <w:style w:type="paragraph" w:customStyle="1" w:styleId="14">
    <w:name w:val="四级条标题"/>
    <w:basedOn w:val="13"/>
    <w:next w:val="1"/>
    <w:qFormat/>
    <w:uiPriority w:val="0"/>
    <w:pPr>
      <w:numPr>
        <w:ilvl w:val="4"/>
      </w:numPr>
      <w:outlineLvl w:val="5"/>
    </w:pPr>
  </w:style>
  <w:style w:type="paragraph" w:customStyle="1" w:styleId="15">
    <w:name w:val="五级条标题"/>
    <w:basedOn w:val="14"/>
    <w:next w:val="1"/>
    <w:qFormat/>
    <w:uiPriority w:val="0"/>
    <w:pPr>
      <w:numPr>
        <w:ilvl w:val="5"/>
      </w:numPr>
      <w:outlineLvl w:val="6"/>
    </w:pPr>
  </w:style>
  <w:style w:type="paragraph" w:styleId="16">
    <w:name w:val="List Paragraph"/>
    <w:basedOn w:val="1"/>
    <w:unhideWhenUsed/>
    <w:qFormat/>
    <w:uiPriority w:val="99"/>
    <w:pPr>
      <w:ind w:firstLine="420" w:firstLineChars="200"/>
    </w:pPr>
  </w:style>
  <w:style w:type="paragraph" w:customStyle="1" w:styleId="17">
    <w:name w:val="样式 正文－推荐使用 + 首行缩进:  2 字符 段前: 0.5 行 段后: 0.5 行"/>
    <w:basedOn w:val="1"/>
    <w:qFormat/>
    <w:uiPriority w:val="0"/>
    <w:pPr>
      <w:spacing w:before="120" w:after="120" w:line="360" w:lineRule="auto"/>
      <w:ind w:firstLine="480"/>
      <w:textAlignment w:val="bottom"/>
    </w:pPr>
    <w:rPr>
      <w:rFonts w:ascii="Times New Roman" w:hAnsi="Times New Roman" w:eastAsia="宋体" w:cs="Times New Roman"/>
      <w:kern w:val="0"/>
      <w:sz w:val="24"/>
      <w:szCs w:val="20"/>
    </w:rPr>
  </w:style>
  <w:style w:type="paragraph" w:customStyle="1" w:styleId="18">
    <w:name w:val="样式 正文（首行缩进2字符） + 首行缩进:  2 字符"/>
    <w:basedOn w:val="1"/>
    <w:qFormat/>
    <w:uiPriority w:val="0"/>
    <w:pPr>
      <w:spacing w:line="360" w:lineRule="auto"/>
      <w:ind w:left="178" w:leftChars="85" w:right="25" w:rightChars="12" w:firstLine="538" w:firstLineChars="256"/>
    </w:pPr>
    <w:rPr>
      <w:rFonts w:ascii="宋体" w:hAnsi="宋体" w:cs="宋体"/>
      <w:bCs/>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1735</Words>
  <Characters>2330</Characters>
  <Lines>9</Lines>
  <Paragraphs>2</Paragraphs>
  <TotalTime>4</TotalTime>
  <ScaleCrop>false</ScaleCrop>
  <LinksUpToDate>false</LinksUpToDate>
  <CharactersWithSpaces>2334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2018-12-03T01:18:00Z</dcterms:created>
  <dc:creator>Think</dc:creator>
  <cp:lastModifiedBy>曹杰</cp:lastModifiedBy>
  <cp:lastPrinted>2020-12-01T07:11:00Z</cp:lastPrinted>
  <dcterms:modified xsi:type="dcterms:W3CDTF">2023-07-03T05:45:05Z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74CA897966FD48A29EB74E533BC6E66B_12</vt:lpwstr>
  </property>
</Properties>
</file>